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w:t>
      </w:r>
      <w:r w:rsidR="0039193B">
        <w:rPr>
          <w:rFonts w:ascii="Arial Narrow" w:hAnsi="Arial Narrow"/>
          <w:sz w:val="24"/>
          <w:szCs w:val="24"/>
        </w:rPr>
        <w:t>decyzji</w:t>
      </w:r>
      <w:bookmarkStart w:id="0" w:name="_GoBack"/>
      <w:bookmarkEnd w:id="0"/>
      <w:r w:rsidR="003B0755" w:rsidRPr="003B0755">
        <w:rPr>
          <w:rFonts w:ascii="Arial Narrow" w:hAnsi="Arial Narrow"/>
          <w:sz w:val="24"/>
          <w:szCs w:val="24"/>
        </w:rPr>
        <w:t>:</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Działanie 6.4  Równość szans kobiet i mężczyzn na rynku pracy</w:t>
      </w:r>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lastRenderedPageBreak/>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lastRenderedPageBreak/>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r>
      <w:r w:rsidRPr="00947C1A">
        <w:rPr>
          <w:rFonts w:ascii="Arial Narrow" w:hAnsi="Arial Narrow" w:cs="Arial"/>
          <w:sz w:val="24"/>
          <w:szCs w:val="24"/>
        </w:rPr>
        <w:lastRenderedPageBreak/>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332C41" w:rsidRPr="0045294D" w:rsidRDefault="00332C41" w:rsidP="00332C41">
      <w:pPr>
        <w:spacing w:line="360" w:lineRule="auto"/>
        <w:rPr>
          <w:b/>
          <w:sz w:val="28"/>
          <w:szCs w:val="28"/>
          <w:u w:val="single"/>
        </w:rPr>
      </w:pPr>
      <w:r>
        <w:rPr>
          <w:b/>
          <w:sz w:val="28"/>
          <w:szCs w:val="28"/>
          <w:u w:val="single"/>
        </w:rPr>
        <w:lastRenderedPageBreak/>
        <w:t>OŚ Priorytetowa 7</w:t>
      </w: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Pr="00EE1B2D" w:rsidRDefault="00332C41" w:rsidP="00332C41">
      <w:pPr>
        <w:spacing w:line="360" w:lineRule="auto"/>
        <w:ind w:left="1410" w:hanging="1410"/>
        <w:jc w:val="both"/>
        <w:rPr>
          <w:rFonts w:ascii="Arial Narrow" w:hAnsi="Arial Narrow"/>
          <w:b/>
          <w:sz w:val="24"/>
          <w:szCs w:val="24"/>
        </w:rPr>
      </w:pPr>
      <w:r w:rsidRPr="00EE1B2D">
        <w:rPr>
          <w:rFonts w:ascii="Arial Narrow" w:hAnsi="Arial Narrow"/>
          <w:b/>
          <w:sz w:val="24"/>
          <w:szCs w:val="24"/>
        </w:rPr>
        <w:lastRenderedPageBreak/>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r>
        <w:rPr>
          <w:rFonts w:ascii="Arial Narrow" w:hAnsi="Arial Narrow" w:cs="Arial"/>
          <w:sz w:val="24"/>
          <w:szCs w:val="24"/>
        </w:rPr>
        <w:t>.</w:t>
      </w:r>
    </w:p>
    <w:p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lastRenderedPageBreak/>
        <w:t>Działanie 7.3</w:t>
      </w:r>
      <w:r w:rsidRPr="00EE1B2D">
        <w:rPr>
          <w:rFonts w:ascii="Arial Narrow" w:hAnsi="Arial Narrow"/>
          <w:b/>
          <w:sz w:val="24"/>
          <w:szCs w:val="24"/>
        </w:rPr>
        <w:tab/>
        <w:t>Programy aktywnej integracji realizowane przez inne podmioty</w:t>
      </w:r>
    </w:p>
    <w:p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w odniesieniu do osób lub środowisk zagrożonych ubóstwem lub wykluczeniem społecznym minimalny poziom efektywności społecznej wynosi 34%, 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Beneficjent zobowiązany jest do uzasadnienia konieczności poniesienia kosztu racjonalnego usprawnienia z zastosowaniem najbardziej efektywneg</w:t>
      </w:r>
      <w:r>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332C41" w:rsidRPr="0045294D"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w formie finansowej – w przypadku przedłużenia wsparcia pomostowego w formie finansowej powyżej 6 miesięcy lub przyznania wyłącznie wsparcia pomostowego w formie finansowej (bez dotacji). </w:t>
      </w:r>
      <w:r w:rsidRPr="00870240">
        <w:rPr>
          <w:rFonts w:ascii="Arial Narrow" w:hAnsi="Arial Narrow" w:cs="Arial"/>
          <w:sz w:val="24"/>
          <w:szCs w:val="24"/>
        </w:rPr>
        <w:t xml:space="preserve">W tym czasie zakończenie stosunku pracy </w:t>
      </w:r>
      <w:r>
        <w:rPr>
          <w:rFonts w:ascii="Arial Narrow" w:hAnsi="Arial Narrow" w:cs="Arial"/>
          <w:sz w:val="24"/>
          <w:szCs w:val="24"/>
        </w:rPr>
        <w:br/>
      </w:r>
      <w:r w:rsidRPr="00870240">
        <w:rPr>
          <w:rFonts w:ascii="Arial Narrow" w:hAnsi="Arial Narrow" w:cs="Arial"/>
          <w:sz w:val="24"/>
          <w:szCs w:val="24"/>
        </w:rPr>
        <w:t xml:space="preserve">z osobą zatrudnioną na nowo utworzonym stanowisku pracy może nastąpić wyłącznie </w:t>
      </w:r>
      <w:r>
        <w:rPr>
          <w:rFonts w:ascii="Arial Narrow" w:hAnsi="Arial Narrow" w:cs="Arial"/>
          <w:sz w:val="24"/>
          <w:szCs w:val="24"/>
        </w:rPr>
        <w:br/>
      </w:r>
      <w:r w:rsidRPr="00870240">
        <w:rPr>
          <w:rFonts w:ascii="Arial Narrow" w:hAnsi="Arial Narrow" w:cs="Arial"/>
          <w:sz w:val="24"/>
          <w:szCs w:val="24"/>
        </w:rPr>
        <w:t xml:space="preserve">z przyczyn leżących po stronie pracownika, </w:t>
      </w:r>
      <w:r w:rsidRPr="00A07F46">
        <w:rPr>
          <w:rFonts w:ascii="Arial Narrow" w:hAnsi="Arial Narrow" w:cs="Arial"/>
          <w:sz w:val="24"/>
          <w:szCs w:val="24"/>
        </w:rPr>
        <w:t xml:space="preserve">przy czym nie może się to wiązać z likwidacją miejsca pracy. </w:t>
      </w:r>
    </w:p>
    <w:p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dotacji. Beneficjent zapewnia, iż przed upływem 3 lat od zakończenia wsparcia w projekcie, podmiot nie przekształci się w podmiot gospodarczy niespełniający definicji PES, a w przypadku likwidacji tego PES – zapewnienia, </w:t>
      </w:r>
      <w:r>
        <w:rPr>
          <w:rFonts w:ascii="Arial Narrow" w:hAnsi="Arial Narrow" w:cs="ArialMT"/>
          <w:sz w:val="24"/>
          <w:szCs w:val="24"/>
        </w:rPr>
        <w:br/>
      </w:r>
      <w:r w:rsidRPr="008416F1">
        <w:rPr>
          <w:rFonts w:ascii="Arial Narrow" w:hAnsi="Arial Narrow" w:cs="ArialMT"/>
          <w:sz w:val="24"/>
          <w:szCs w:val="24"/>
        </w:rPr>
        <w:t>iż majątek zakupiony z dotacji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dotacji na tworzenie </w:t>
      </w:r>
      <w:r>
        <w:rPr>
          <w:rFonts w:ascii="Arial Narrow" w:hAnsi="Arial Narrow" w:cs="Arial"/>
          <w:sz w:val="24"/>
          <w:szCs w:val="24"/>
        </w:rPr>
        <w:t>miejsc pracy w nowych i istniejących PS.</w:t>
      </w:r>
      <w:r w:rsidRPr="008416F1">
        <w:rPr>
          <w:rFonts w:ascii="Arial Narrow" w:hAnsi="Arial Narrow" w:cs="Arial"/>
          <w:sz w:val="24"/>
          <w:szCs w:val="24"/>
        </w:rPr>
        <w:t>.</w:t>
      </w:r>
    </w:p>
    <w:p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22-25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w:t>
      </w:r>
      <w:r w:rsidRPr="004434E0">
        <w:rPr>
          <w:rFonts w:ascii="Arial Narrow" w:hAnsi="Arial Narrow" w:cs="Arial"/>
          <w:sz w:val="24"/>
          <w:szCs w:val="24"/>
        </w:rPr>
        <w:lastRenderedPageBreak/>
        <w:t xml:space="preserve">realizacji przedsięwzięcia mającego na celu rozwój ekonomii społecznej;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332C41" w:rsidRPr="009662E4"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p w:rsidR="00332C41" w:rsidRDefault="00332C41" w:rsidP="00332C41">
      <w:pPr>
        <w:widowControl w:val="0"/>
        <w:spacing w:after="0" w:line="360" w:lineRule="auto"/>
        <w:ind w:right="20"/>
        <w:jc w:val="both"/>
        <w:rPr>
          <w:rFonts w:ascii="Arial Narrow" w:hAnsi="Arial Narrow"/>
          <w:sz w:val="24"/>
          <w:szCs w:val="24"/>
          <w:lang w:val="x-none"/>
        </w:rPr>
      </w:pPr>
    </w:p>
    <w:p w:rsidR="00332C41" w:rsidRDefault="00332C41" w:rsidP="00332C41">
      <w:pPr>
        <w:spacing w:line="360" w:lineRule="auto"/>
        <w:jc w:val="both"/>
        <w:rPr>
          <w:rFonts w:ascii="Arial Narrow" w:hAnsi="Arial Narrow" w:cs="Arial"/>
          <w:sz w:val="24"/>
          <w:szCs w:val="24"/>
        </w:rPr>
      </w:pPr>
    </w:p>
    <w:p w:rsidR="000A0FE1" w:rsidRPr="00332C41" w:rsidRDefault="000A0FE1" w:rsidP="00332C41">
      <w:pPr>
        <w:spacing w:line="360" w:lineRule="auto"/>
        <w:jc w:val="both"/>
        <w:rPr>
          <w:rFonts w:ascii="Arial Narrow" w:hAnsi="Arial Narrow" w:cs="Arial"/>
          <w:sz w:val="24"/>
          <w:szCs w:val="24"/>
        </w:rPr>
      </w:pPr>
    </w:p>
    <w:p w:rsidR="00A50ECA" w:rsidRDefault="00A50ECA"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9"/>
      <w:bookmarkEnd w:id="10"/>
      <w:bookmarkEnd w:id="11"/>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2"/>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3"/>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080FE3">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4"/>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080FE3">
        <w:rPr>
          <w:rFonts w:ascii="Arial Narrow" w:eastAsia="Times New Roman" w:hAnsi="Arial Narrow" w:cs="Arial"/>
          <w:sz w:val="24"/>
          <w:szCs w:val="24"/>
          <w:lang w:eastAsia="pl-PL"/>
        </w:rPr>
        <w:lastRenderedPageBreak/>
        <w:t>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w:t>
      </w:r>
      <w:r w:rsidRPr="00080FE3">
        <w:rPr>
          <w:rFonts w:ascii="Arial Narrow" w:eastAsia="Arial" w:hAnsi="Arial Narrow" w:cs="Arial"/>
          <w:color w:val="000000"/>
          <w:sz w:val="24"/>
          <w:szCs w:val="24"/>
          <w:lang w:eastAsia="pl-PL"/>
        </w:rPr>
        <w:lastRenderedPageBreak/>
        <w:t>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5"/>
      <w:bookmarkEnd w:id="16"/>
      <w:bookmarkEnd w:id="17"/>
      <w:bookmarkEnd w:id="18"/>
      <w:bookmarkEnd w:id="19"/>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zapewni, że zrealizowane dzięki wsparciu EFS szkolenia lub inne formy </w:t>
      </w:r>
      <w:r w:rsidRPr="00080FE3">
        <w:rPr>
          <w:rFonts w:ascii="Arial Narrow" w:eastAsia="Arial" w:hAnsi="Arial Narrow" w:cs="Arial"/>
          <w:color w:val="000000"/>
          <w:sz w:val="24"/>
          <w:szCs w:val="24"/>
          <w:lang w:eastAsia="pl-PL"/>
        </w:rPr>
        <w:lastRenderedPageBreak/>
        <w:t>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410CBA" w:rsidRPr="003D2B8D"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t>
      </w:r>
      <w:r w:rsidRPr="00080FE3">
        <w:rPr>
          <w:rFonts w:ascii="Arial Narrow" w:hAnsi="Arial Narrow" w:cs="Arial"/>
          <w:sz w:val="24"/>
          <w:szCs w:val="24"/>
        </w:rPr>
        <w:lastRenderedPageBreak/>
        <w:t xml:space="preserve">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0"/>
      <w:bookmarkEnd w:id="21"/>
      <w:bookmarkEnd w:id="22"/>
      <w:bookmarkEnd w:id="23"/>
      <w:bookmarkEnd w:id="24"/>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2733A"/>
    <w:rsid w:val="00052FFF"/>
    <w:rsid w:val="00080FE3"/>
    <w:rsid w:val="000A0FE1"/>
    <w:rsid w:val="000C01ED"/>
    <w:rsid w:val="000E3DE3"/>
    <w:rsid w:val="001237F0"/>
    <w:rsid w:val="001343CF"/>
    <w:rsid w:val="00146180"/>
    <w:rsid w:val="00181441"/>
    <w:rsid w:val="001A7F22"/>
    <w:rsid w:val="002411CE"/>
    <w:rsid w:val="002753AC"/>
    <w:rsid w:val="002760BA"/>
    <w:rsid w:val="002C1DB2"/>
    <w:rsid w:val="002C3178"/>
    <w:rsid w:val="002C41E1"/>
    <w:rsid w:val="002C7DA1"/>
    <w:rsid w:val="00332C41"/>
    <w:rsid w:val="00355797"/>
    <w:rsid w:val="003734BD"/>
    <w:rsid w:val="00375ED6"/>
    <w:rsid w:val="00376A87"/>
    <w:rsid w:val="00380F17"/>
    <w:rsid w:val="00390D43"/>
    <w:rsid w:val="0039193B"/>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22149"/>
    <w:rsid w:val="00645D2A"/>
    <w:rsid w:val="00653097"/>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16029"/>
    <w:rsid w:val="00840B64"/>
    <w:rsid w:val="00875824"/>
    <w:rsid w:val="00880AE5"/>
    <w:rsid w:val="008A6288"/>
    <w:rsid w:val="008C6504"/>
    <w:rsid w:val="00902E1B"/>
    <w:rsid w:val="00947C1A"/>
    <w:rsid w:val="009662E4"/>
    <w:rsid w:val="009A2E2F"/>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85C18"/>
    <w:rsid w:val="00C94A19"/>
    <w:rsid w:val="00CB3309"/>
    <w:rsid w:val="00CC3657"/>
    <w:rsid w:val="00CE3DB6"/>
    <w:rsid w:val="00D07C33"/>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39</Pages>
  <Words>10835</Words>
  <Characters>65015</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16</cp:revision>
  <dcterms:created xsi:type="dcterms:W3CDTF">2018-05-02T09:53:00Z</dcterms:created>
  <dcterms:modified xsi:type="dcterms:W3CDTF">2019-03-08T10:00:00Z</dcterms:modified>
</cp:coreProperties>
</file>